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center"/>
        <w:textAlignment w:val="auto"/>
        <w:rPr>
          <w:rFonts w:hint="default" w:ascii="华文楷体" w:hAnsi="华文楷体" w:eastAsia="华文楷体" w:cs="华文楷体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华文楷体" w:hAnsi="华文楷体" w:eastAsia="华文楷体" w:cs="华文楷体"/>
          <w:b/>
          <w:bCs/>
          <w:kern w:val="2"/>
          <w:sz w:val="32"/>
          <w:szCs w:val="32"/>
          <w:lang w:val="en-US" w:eastAsia="zh-CN" w:bidi="ar-SA"/>
        </w:rPr>
        <w:t>三亚市城郊人民法院网上立案事宜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0"/>
        <w:textAlignment w:val="auto"/>
        <w:rPr>
          <w:rFonts w:hint="eastAsia" w:ascii="华文楷体" w:hAnsi="华文楷体" w:eastAsia="华文楷体" w:cs="华文楷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b/>
          <w:bCs/>
          <w:kern w:val="2"/>
          <w:sz w:val="30"/>
          <w:szCs w:val="30"/>
          <w:lang w:val="en-US" w:eastAsia="zh-CN" w:bidi="ar-SA"/>
        </w:rPr>
        <w:t>一、立案需准备材料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(一)起诉人是自然人的，提交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instrText xml:space="preserve"> HYPERLINK "http://www.64365.com/baike/sfz/" \t "_blank" \o "身份证" </w:instrTex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身份证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end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复印件或者户口薄复印件;起诉人是法人或者其他组织的，提交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instrText xml:space="preserve"> HYPERLINK "http://www.64365.com/baike/yyzz/" \t "_blank" \o "营业执照" </w:instrTex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营业执照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end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或者社会信用统一代码证复印件、法定代表人或者主要负责人身份证明书(同时应记名法定代表人或负责人的姓名、职务、住址、联系方式等基本信息);法人或者其他组织不能提供社会信用统一代码证的，应当提供社会信用统一代码证被注销的情况说明;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(二)委托起诉的，应当提交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instrText xml:space="preserve"> HYPERLINK "http://www.64365.com/contract/44.aspx" \t "_blank" \o "授权委托书" </w:instrTex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授权委托书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end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(记明委托事项和权限)、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instrText xml:space="preserve"> HYPERLINK "http://www.64365.com/baike/dl/" \t "_blank" \o "代理" </w:instrTex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代理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end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人身份证明等相关材料;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(三)具体明确的足以使被告与他人相区别的姓名或者名称、住所等信息;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(四)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begin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instrText xml:space="preserve"> HYPERLINK "http://www.64365.com/baike/qsz/" \t "_blank" \o "起诉状" </w:instrTex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separate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起诉状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fldChar w:fldCharType="end"/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原本和与被告及其他当事人人数相符的副本;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(五)与诉请相关的证据或者证明材料(指作为起诉基础条件的材料)。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0"/>
        <w:textAlignment w:val="auto"/>
        <w:rPr>
          <w:rFonts w:hint="eastAsia" w:ascii="华文楷体" w:hAnsi="华文楷体" w:eastAsia="华文楷体" w:cs="华文楷体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b/>
          <w:bCs/>
          <w:kern w:val="2"/>
          <w:sz w:val="30"/>
          <w:szCs w:val="30"/>
          <w:lang w:val="en-US" w:eastAsia="zh-CN" w:bidi="ar-SA"/>
        </w:rPr>
        <w:t>二、网上立案、调解、保全等路径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案件当事人、诉讼代理人可通过“人民法院在线服务”微信小程序[打开微信搜索“人民法院在线服务（海南）”小程序]、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ascii="Arial" w:hAnsi="Arial" w:cs="Arial"/>
          <w:color w:val="333333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人民法院律师服务平台</w:t>
      </w:r>
      <w:r>
        <w:rPr>
          <w:rFonts w:hint="eastAsia" w:ascii="Arial" w:hAnsi="Arial" w:cs="Arial"/>
          <w:color w:val="333333"/>
        </w:rPr>
        <w:t>（</w:t>
      </w:r>
      <w:r>
        <w:fldChar w:fldCharType="begin"/>
      </w:r>
      <w:r>
        <w:instrText xml:space="preserve"> HYPERLINK "https://lspt.court.gov.cn/ssoserver/）、" </w:instrText>
      </w:r>
      <w:r>
        <w:fldChar w:fldCharType="separate"/>
      </w:r>
      <w:r>
        <w:rPr>
          <w:rStyle w:val="6"/>
          <w:rFonts w:hint="eastAsia" w:ascii="Arial" w:hAnsi="Arial" w:cs="Arial"/>
        </w:rPr>
        <w:t>https://lspt.court.gov.cn/ssoserver/）、</w:t>
      </w:r>
      <w:r>
        <w:rPr>
          <w:rStyle w:val="6"/>
          <w:rFonts w:hint="eastAsia" w:ascii="Arial" w:hAnsi="Arial" w:cs="Arial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ascii="Arial" w:hAnsi="Arial" w:cs="Arial"/>
          <w:color w:val="333333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电子诉讼平台</w:t>
      </w:r>
      <w:r>
        <w:rPr>
          <w:rFonts w:hint="eastAsia" w:ascii="Arial" w:hAnsi="Arial" w:cs="Arial"/>
          <w:color w:val="333333"/>
        </w:rPr>
        <w:t>（</w:t>
      </w:r>
      <w:r>
        <w:fldChar w:fldCharType="begin"/>
      </w:r>
      <w:r>
        <w:instrText xml:space="preserve"> HYPERLINK "http://sfpt.hicourt.gov.cn/login）、" </w:instrText>
      </w:r>
      <w:r>
        <w:fldChar w:fldCharType="separate"/>
      </w:r>
      <w:r>
        <w:rPr>
          <w:rStyle w:val="6"/>
          <w:rFonts w:hint="eastAsia" w:ascii="Arial" w:hAnsi="Arial" w:cs="Arial"/>
        </w:rPr>
        <w:t>http://sfpt.hicourt.gov.cn/login）、</w:t>
      </w:r>
      <w:r>
        <w:rPr>
          <w:rStyle w:val="6"/>
          <w:rFonts w:hint="eastAsia" w:ascii="Arial" w:hAnsi="Arial" w:cs="Arial"/>
        </w:rPr>
        <w:fldChar w:fldCharType="end"/>
      </w:r>
      <w:r>
        <w:rPr>
          <w:rFonts w:hint="eastAsia" w:ascii="Arial" w:hAnsi="Arial" w:cs="Arial"/>
          <w:color w:val="333333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ascii="Arial" w:hAnsi="Arial" w:cs="Arial"/>
          <w:color w:val="333333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人民法院调解平台</w:t>
      </w:r>
      <w:r>
        <w:rPr>
          <w:rFonts w:hint="eastAsia" w:ascii="Arial" w:hAnsi="Arial" w:cs="Arial"/>
          <w:color w:val="333333"/>
        </w:rPr>
        <w:t>（</w:t>
      </w:r>
      <w:r>
        <w:fldChar w:fldCharType="begin"/>
      </w:r>
      <w:r>
        <w:instrText xml:space="preserve"> HYPERLINK "http://tiaojie.court.gov.cn/）、" </w:instrText>
      </w:r>
      <w:r>
        <w:fldChar w:fldCharType="separate"/>
      </w:r>
      <w:r>
        <w:rPr>
          <w:rStyle w:val="6"/>
          <w:rFonts w:hint="eastAsia" w:ascii="Arial" w:hAnsi="Arial" w:cs="Arial"/>
        </w:rPr>
        <w:t>http://tiaojie.court.gov.cn/）、</w:t>
      </w:r>
      <w:r>
        <w:rPr>
          <w:rStyle w:val="6"/>
          <w:rFonts w:hint="eastAsia" w:ascii="Arial" w:hAnsi="Arial" w:cs="Arial"/>
        </w:rPr>
        <w:fldChar w:fldCharType="end"/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ascii="Arial" w:hAnsi="Arial" w:cs="Arial"/>
          <w:color w:val="333333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人民法院网上保全系统</w:t>
      </w:r>
      <w:r>
        <w:rPr>
          <w:rFonts w:hint="eastAsia" w:ascii="Arial" w:hAnsi="Arial" w:cs="Arial"/>
          <w:color w:val="333333"/>
        </w:rPr>
        <w:t>（https://baoquan.court.gov.cn/#/home/index）</w:t>
      </w: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办理立案、调解、保全等事项。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24" w:lineRule="auto"/>
        <w:ind w:firstLine="482"/>
        <w:textAlignment w:val="auto"/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</w:pPr>
      <w:r>
        <w:rPr>
          <w:rFonts w:hint="eastAsia" w:ascii="华文楷体" w:hAnsi="华文楷体" w:eastAsia="华文楷体" w:cs="华文楷体"/>
          <w:kern w:val="2"/>
          <w:sz w:val="30"/>
          <w:szCs w:val="30"/>
          <w:lang w:val="en-US" w:eastAsia="zh-CN" w:bidi="ar-SA"/>
        </w:rPr>
        <w:t>纸质材料邮寄地址：海南省三亚市吉阳区榆亚路669号三亚市城郊人民法院（邮政编码：572000）。收件人：立案庭内勤。并请在信封上注明“立案材料”。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altName w:val="楷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2ZGVkNjJkNWU1ZmU3NjZmYmJiNTZmNWFkNjQ1ZWUifQ=="/>
  </w:docVars>
  <w:rsids>
    <w:rsidRoot w:val="00A56BCC"/>
    <w:rsid w:val="00904460"/>
    <w:rsid w:val="00A56BCC"/>
    <w:rsid w:val="00B134E1"/>
    <w:rsid w:val="00E83D61"/>
    <w:rsid w:val="00F43698"/>
    <w:rsid w:val="10E32E49"/>
    <w:rsid w:val="2A5E0A15"/>
    <w:rsid w:val="38F2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518</Words>
  <Characters>659</Characters>
  <Lines>8</Lines>
  <Paragraphs>2</Paragraphs>
  <TotalTime>3</TotalTime>
  <ScaleCrop>false</ScaleCrop>
  <LinksUpToDate>false</LinksUpToDate>
  <CharactersWithSpaces>660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2022-08-24T08:45:00Z</dcterms:created>
  <dc:creator>Xue Lifan</dc:creator>
  <cp:lastModifiedBy>松树籽儿</cp:lastModifiedBy>
  <dcterms:modified xsi:type="dcterms:W3CDTF">2022-11-03T09:00:55Z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291DCCA7280447DE8025BDD8A290F773</vt:lpwstr>
  </property>
</Properties>
</file>